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FA" w:rsidRDefault="00264FEC">
      <w:pPr>
        <w:jc w:val="center"/>
        <w:rPr>
          <w:rFonts w:ascii="Times New Roman" w:hAnsi="Times New Roman"/>
          <w:b/>
          <w:color w:val="222222"/>
          <w:sz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hd w:val="clear" w:color="auto" w:fill="FFFFFF"/>
        </w:rPr>
        <w:t xml:space="preserve">РАБОЧАЯ ПРОГРАММА ДИСЦИПЛИНЫ  </w:t>
      </w: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    Реклама в коммуникационном пространстве.  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Наименование дисциплины. </w:t>
      </w:r>
      <w:r>
        <w:rPr>
          <w:rFonts w:ascii="Times New Roman" w:hAnsi="Times New Roman"/>
          <w:sz w:val="24"/>
        </w:rPr>
        <w:t>Реклама в коммуникационном пространстве.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Аннотация к дисциплине.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нацелен на ознакомление студентов, специализирующихся по кафедре философии языка и коммуникации, с прикладными аспектами коммуникативистики, формами и технологиями воздействия на обыденное сознание, в наибольшей степени представленными в рекламной отрасли. Особое внимание, в соответствии с направлением специализации, предполагается уделить языковому аспекту воздействия, тем формам, что непосредственно и опосредованно опираются на особенности речевой (письменной и устной) коммуникации. Для реализации данной цели предполагается решение следующих взаимосвязанных задач:</w:t>
      </w:r>
    </w:p>
    <w:p w:rsidR="00057AFA" w:rsidRDefault="00057AF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Предложить методологию изучения дисциплины;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рекламной отрасли и основных субъектах рекламной деятельности;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методах работы с рекламной отраслью;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Выявить общее и специфическое в рекламе в целом и отдельных видах рекламы в частности;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Показать место рекламы в процессе коммуникаций;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Проанализировать различие внутри прикладной коммуникативистики </w:t>
      </w:r>
    </w:p>
    <w:p w:rsidR="00057AFA" w:rsidRDefault="00264FE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целям: покупка – сотрудничество;</w:t>
      </w:r>
    </w:p>
    <w:p w:rsidR="00057AFA" w:rsidRDefault="00264FE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средствам: воздействие – взаимодействие;</w:t>
      </w:r>
    </w:p>
    <w:p w:rsidR="00057AFA" w:rsidRDefault="00264FE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формам: про-активная – интерактивная;</w:t>
      </w:r>
    </w:p>
    <w:p w:rsidR="00057AFA" w:rsidRDefault="00264FEC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технологиям: реклама – связи с общественностью.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место и функции субъектов рекламной деятельности в процессе коммуникаций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рекламу как средство общественных связей;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об истории развития рекламы;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различные концепции и представления исследователей сферы рекламы;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различные изобразительные и языковые приемы, характерные для рекламы.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Проанализировать формы воздействия на рецепиента в ходе рекламной коммуникации и возникающие при этом формы обратного воздействия на образы и язык рекламы.</w:t>
      </w:r>
    </w:p>
    <w:p w:rsidR="00057AFA" w:rsidRDefault="00264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 студентов с основными нормативными документами, регулирующими рекламную отрасль.</w:t>
      </w: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Место дисциплины в основной образовательной программе: </w:t>
      </w:r>
    </w:p>
    <w:p w:rsidR="00D12E4E" w:rsidRDefault="00D12E4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12E4E" w:rsidRPr="00AC4A4B" w:rsidRDefault="00D12E4E" w:rsidP="00D12E4E">
      <w:pPr>
        <w:rPr>
          <w:rFonts w:ascii="Times New Roman" w:hAnsi="Times New Roman"/>
          <w:color w:val="000000"/>
          <w:sz w:val="24"/>
          <w:szCs w:val="24"/>
        </w:rPr>
      </w:pPr>
      <w:r w:rsidRPr="00AC4A4B">
        <w:rPr>
          <w:rFonts w:ascii="Times New Roman" w:hAnsi="Times New Roman"/>
          <w:color w:val="000000"/>
          <w:sz w:val="24"/>
          <w:szCs w:val="24"/>
        </w:rPr>
        <w:t>Дисциплина является обязательной и относится к базовой общепрофессиональной части образовательной программы по направлению подготовки «</w:t>
      </w:r>
      <w:r w:rsidRPr="00AC4A4B">
        <w:rPr>
          <w:rFonts w:ascii="Times New Roman" w:hAnsi="Times New Roman"/>
          <w:bCs/>
          <w:sz w:val="24"/>
          <w:szCs w:val="24"/>
        </w:rPr>
        <w:t>Реклама и связи с общественностью</w:t>
      </w:r>
      <w:r w:rsidRPr="00AC4A4B">
        <w:rPr>
          <w:rFonts w:ascii="Times New Roman" w:hAnsi="Times New Roman"/>
          <w:color w:val="000000"/>
          <w:sz w:val="24"/>
          <w:szCs w:val="24"/>
        </w:rPr>
        <w:t>».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Уровень высшего образования:</w:t>
      </w:r>
    </w:p>
    <w:p w:rsidR="00057AFA" w:rsidRDefault="00264FEC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Магистратура</w:t>
      </w:r>
    </w:p>
    <w:p w:rsidR="00057AFA" w:rsidRDefault="00057AFA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Год и семестр обучения:</w:t>
      </w:r>
    </w:p>
    <w:p w:rsidR="00057AFA" w:rsidRDefault="00264FEC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курс магистратуры, 1 и 2 семестры</w:t>
      </w:r>
    </w:p>
    <w:p w:rsidR="00057AFA" w:rsidRDefault="00057AFA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Общая трудоемкость</w:t>
      </w:r>
      <w:r>
        <w:rPr>
          <w:rFonts w:ascii="Times New Roman" w:hAnsi="Times New Roman"/>
          <w:sz w:val="24"/>
        </w:rPr>
        <w:t xml:space="preserve"> дисциплины составляет </w:t>
      </w:r>
      <w:r>
        <w:rPr>
          <w:rFonts w:ascii="Times New Roman" w:hAnsi="Times New Roman"/>
          <w:b/>
          <w:sz w:val="24"/>
        </w:rPr>
        <w:t>4 зачетных единицы</w:t>
      </w:r>
      <w:r>
        <w:rPr>
          <w:rFonts w:ascii="Times New Roman" w:hAnsi="Times New Roman"/>
          <w:sz w:val="24"/>
        </w:rPr>
        <w:t>: 70 академических часов лекций, 35 академических часов семинаров и 39 академических часов самостоятельной работы студента - всего 144 часа.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Форма обучения </w:t>
      </w:r>
      <w:r>
        <w:rPr>
          <w:rFonts w:ascii="Times New Roman" w:hAnsi="Times New Roman"/>
          <w:sz w:val="24"/>
        </w:rPr>
        <w:t>очная.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Планируемые результаты обучения по дисциплине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 матрицу компетенций.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Входные требования для освоения дисциплины:</w:t>
      </w:r>
    </w:p>
    <w:p w:rsidR="00057AFA" w:rsidRDefault="00264FE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успешного освоения данного курса необходимо предварительное освоение студентами дисциплин базовой и вариативной частей общепрофессионального цикла программ бакалавриата по специальности «Реклама и связи с общественностью».</w:t>
      </w:r>
    </w:p>
    <w:p w:rsidR="00057AFA" w:rsidRDefault="00057AFA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Учебно-тематический план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134"/>
        <w:gridCol w:w="851"/>
        <w:gridCol w:w="1275"/>
        <w:gridCol w:w="1299"/>
      </w:tblGrid>
      <w:tr w:rsidR="00057AFA">
        <w:trPr>
          <w:cantSplit/>
          <w:trHeight w:val="20"/>
          <w:tblHeader/>
        </w:trPr>
        <w:tc>
          <w:tcPr>
            <w:tcW w:w="534" w:type="dxa"/>
            <w:vMerge w:val="restart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252" w:type="dxa"/>
            <w:vMerge w:val="restart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</w:rPr>
              <w:br/>
              <w:t>(ак.час.)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Контактная работа (ак.час.)</w:t>
            </w:r>
          </w:p>
        </w:tc>
        <w:tc>
          <w:tcPr>
            <w:tcW w:w="1299" w:type="dxa"/>
            <w:vMerge w:val="restart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контроля</w:t>
            </w:r>
          </w:p>
        </w:tc>
      </w:tr>
      <w:tr w:rsidR="00057AFA">
        <w:trPr>
          <w:cantSplit/>
          <w:trHeight w:val="20"/>
          <w:tblHeader/>
        </w:trPr>
        <w:tc>
          <w:tcPr>
            <w:tcW w:w="534" w:type="dxa"/>
            <w:vMerge/>
          </w:tcPr>
          <w:p w:rsidR="00057AFA" w:rsidRDefault="00057AFA">
            <w:pPr>
              <w:spacing w:after="0"/>
            </w:pPr>
          </w:p>
        </w:tc>
        <w:tc>
          <w:tcPr>
            <w:tcW w:w="4252" w:type="dxa"/>
            <w:vMerge/>
          </w:tcPr>
          <w:p w:rsidR="00057AFA" w:rsidRDefault="00057AFA">
            <w:pPr>
              <w:spacing w:after="0"/>
            </w:pPr>
          </w:p>
        </w:tc>
        <w:tc>
          <w:tcPr>
            <w:tcW w:w="1134" w:type="dxa"/>
            <w:vMerge/>
          </w:tcPr>
          <w:p w:rsidR="00057AFA" w:rsidRDefault="00057AF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Семинары</w:t>
            </w:r>
          </w:p>
        </w:tc>
        <w:tc>
          <w:tcPr>
            <w:tcW w:w="1299" w:type="dxa"/>
            <w:vMerge/>
          </w:tcPr>
          <w:p w:rsidR="00057AFA" w:rsidRDefault="00057AF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курса. Структура и смысл курса. Определение рекламы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рекламы как объекта нормативного регулирования 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процесса рекламной деятельности. 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производства и распространения рекламы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Процесс потребления рекламы – основные закономерности.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Аудитория (потребитель) рекламы как объект и субъект 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Критерии и факторы эффективности рекламы. 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Эмоциональная доминанта в языке рекламы. Дискурс и эмоциональная дискурсия. 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Форма, стиль и функция языка рекламы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воздействия через литературно-художественный стиль. Миф и сказка как базовые тексты.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Нарратив в рекламе. Технология сторителлинга и трансмедиа-сторителлинга.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Эссе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Пародирование, юмор и парадокс в рекламе. 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Суггестивное воздействие. Техники наведения трансового состояния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Речевые стратегии утилизации транса. Техники нейтрализации способности к сопротивлению внушению. 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Toc411472622"/>
            <w:r>
              <w:rPr>
                <w:rFonts w:ascii="Times New Roman" w:hAnsi="Times New Roman"/>
                <w:sz w:val="24"/>
              </w:rPr>
              <w:t>Языковое манипулирование и ложные умозаключения</w:t>
            </w:r>
            <w:bookmarkEnd w:id="0"/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  <w:vAlign w:val="center"/>
          </w:tcPr>
          <w:p w:rsidR="00057AFA" w:rsidRDefault="00057AFA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Align w:val="center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идентификации манипулятивного воздействия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Текущий контроль</w:t>
            </w:r>
          </w:p>
        </w:tc>
      </w:tr>
      <w:tr w:rsidR="00057AFA">
        <w:trPr>
          <w:cantSplit/>
          <w:trHeight w:val="20"/>
        </w:trPr>
        <w:tc>
          <w:tcPr>
            <w:tcW w:w="534" w:type="dxa"/>
          </w:tcPr>
          <w:p w:rsidR="00057AFA" w:rsidRDefault="00057A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</w:tcPr>
          <w:p w:rsidR="00057AFA" w:rsidRDefault="00264FE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105</w:t>
            </w:r>
          </w:p>
        </w:tc>
        <w:tc>
          <w:tcPr>
            <w:tcW w:w="851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1299" w:type="dxa"/>
            <w:vAlign w:val="center"/>
          </w:tcPr>
          <w:p w:rsidR="00057AFA" w:rsidRDefault="00264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Экзамен</w:t>
            </w:r>
          </w:p>
        </w:tc>
      </w:tr>
    </w:tbl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2142"/>
        <w:gridCol w:w="5499"/>
      </w:tblGrid>
      <w:tr w:rsidR="00057AFA">
        <w:tc>
          <w:tcPr>
            <w:tcW w:w="1929" w:type="dxa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и темы</w:t>
            </w:r>
          </w:p>
        </w:tc>
        <w:tc>
          <w:tcPr>
            <w:tcW w:w="2142" w:type="dxa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(ак.ч.)</w:t>
            </w:r>
          </w:p>
        </w:tc>
        <w:tc>
          <w:tcPr>
            <w:tcW w:w="5500" w:type="dxa"/>
            <w:shd w:val="clear" w:color="auto" w:fill="F2F2F2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самостоятельной работы</w:t>
            </w:r>
          </w:p>
        </w:tc>
      </w:tr>
      <w:tr w:rsidR="00057AFA">
        <w:tc>
          <w:tcPr>
            <w:tcW w:w="1929" w:type="dxa"/>
            <w:vAlign w:val="center"/>
          </w:tcPr>
          <w:p w:rsidR="00057AFA" w:rsidRDefault="00264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№ 1-11</w:t>
            </w:r>
          </w:p>
        </w:tc>
        <w:tc>
          <w:tcPr>
            <w:tcW w:w="2142" w:type="dxa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00" w:type="dxa"/>
            <w:vAlign w:val="center"/>
          </w:tcPr>
          <w:p w:rsidR="00057AFA" w:rsidRDefault="00264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исследовательских текстов, поиск и анализ рекламных материалов, подготовка их обсуждения.</w:t>
            </w:r>
          </w:p>
        </w:tc>
      </w:tr>
      <w:tr w:rsidR="00057AFA">
        <w:tc>
          <w:tcPr>
            <w:tcW w:w="1929" w:type="dxa"/>
            <w:vAlign w:val="center"/>
          </w:tcPr>
          <w:p w:rsidR="00057AFA" w:rsidRDefault="00264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№ 12-16</w:t>
            </w:r>
          </w:p>
        </w:tc>
        <w:tc>
          <w:tcPr>
            <w:tcW w:w="2142" w:type="dxa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00" w:type="dxa"/>
            <w:vAlign w:val="center"/>
          </w:tcPr>
          <w:p w:rsidR="00057AFA" w:rsidRDefault="00264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исследовательских текстов, поиск и анализ рекламных материалов, подготовка их обсуждения. Проектная работа.</w:t>
            </w:r>
          </w:p>
        </w:tc>
      </w:tr>
      <w:tr w:rsidR="00057AFA">
        <w:tc>
          <w:tcPr>
            <w:tcW w:w="1929" w:type="dxa"/>
            <w:vAlign w:val="center"/>
          </w:tcPr>
          <w:p w:rsidR="00057AFA" w:rsidRDefault="00264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142" w:type="dxa"/>
            <w:vAlign w:val="center"/>
          </w:tcPr>
          <w:p w:rsidR="00057AFA" w:rsidRDefault="00264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5500" w:type="dxa"/>
            <w:vAlign w:val="center"/>
          </w:tcPr>
          <w:p w:rsidR="00057AFA" w:rsidRDefault="00057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57AFA" w:rsidRDefault="00057AFA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pStyle w:val="21"/>
        <w:spacing w:after="0" w:line="240" w:lineRule="auto"/>
        <w:ind w:left="0"/>
        <w:jc w:val="both"/>
        <w:rPr>
          <w:b/>
        </w:rPr>
      </w:pPr>
      <w:r>
        <w:rPr>
          <w:b/>
        </w:rPr>
        <w:t>12. Учебная программа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Значение курса. Структура и смысл курса.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чем и зачем этот курс: первый взгляд на объект и предмет. 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Интуитивное и эмпирическое понимание рекламы (диалог с аудиторией). Имидж и репутация. Реклама и PR. Выведение представлений о предмете на уровень понятий.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рекламы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рекламы как объекта нормативного регулирования. Существенные различия между политической, социальной и коммерческой рекламой. Почему политическая реклама выведена из сферы, регулируемой Федеральным Законом «О рекламе»? 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процесса рекламной деятельности.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рекламы и средства её распространения (СМИ, рекламные носители различного вида). Субъект, объект, предмет рекламы. Рекламодатель, рекламопроизводитель, рекламораспространитель, потребитель рекламы как субъекты рекламной деятельности. Распределение ответственности.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Процесс производства и распространения рекламы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технологические звенья. Концепция и креатив. Изготовление различных видов рекламы.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Процесс потребления рекламы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Процесс потребления рекламы – основные закономерности. Различие между потреблением и восприятием. Различие между понятиями «объект рекламирования» и «объект воздействия рекламы». Критический анализ термина «потребитель рекламы».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Аудитория (потребитель) рекламы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Аудитория (потребитель) рекламы как объект и субъект. Мировоззренческие и психологические особенности потребителя. «Потребитель» рекламы как носитель обыденного сознания. 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и факторы эффективности рекламы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Различные основания деления рекламы на виды: по содержанию, по форме, по типу размещения, по типу воздействия. 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Рекламирование и распространение рекламы – два различных процесса. Какую рекламу следует считать успешной.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8. Эмоциональная доминанта в языке рекламы. Дискурс и эмоциональная дискурсия.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аспекта рекламы: юридический и содержательный. Реклама как информация, адресованная неопределенному кругу лиц и как сообщение, ориентированное на определенную аудиторию и выполняющее определенные задачи. Обязательная эмоциональность и возможная нелогичность языка рекламы. Дискурс: классическое и постмодернистское понимание. Дискурсивность  и эмоциональная дискурсия.</w:t>
      </w:r>
    </w:p>
    <w:p w:rsidR="00057AFA" w:rsidRDefault="00057AF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9. Форма, стиль и функция языка рекламы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Общая функциональная и стилистическая характеристика языка рекламы. Язык рекламы как новое для русского литературного языка конца XX - начала XXI в. коммуникативно-функционального образование в сфере массовой коммуникации. Основные соотношения с функциональными разновидностями современного русского литературного языка - с языком радио, языком кино и телевизионной речью, которые сложились в рамках массовой информации в течение XX в. Стилевая характеристика языка рекламы как литературно-художественного. Функция воздействия как доминирующая.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10. Осуществление воздействия через литературно-художественный стиль. Миф и сказка как базовые тексты.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Морфология рекламного текста. Анализ рекламных сообщений с помощью таблицы Проппа. Примеры удачных и неудачных попыток построения рекламы по лекалу волшебной сказки (на примере российских и иностранных рекламных роликов). Ошибки присвоения функции персонажу рекламы. Сложности разворачивания сюжета, связанные с требованием «формата» ТВ. Наррация и «быстромыслие» (Бурдьё). Способы разрешения противоречия: нарезка сюжета, отсылка к культурному контексту. 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11.Нарратив в рекламе. Технология сторителлинга и трансмедиа-сторителлинга.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Реклама как рассказанная история. Выдуманные и сказочные персонажи в рекламе. Виртуальные миры в рекламе. Анализ наиболее характерных серий рекламы. Сторителлинг как тренд современной рекламной индустрии: создание собственного контекста и гипертекста. Трансмедиа как способ формирования системы гиперссылок и разворачивания сюжета в современном информационном поле без потери «темпа» рассказа.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12. Пародирование, юмор и парадокс в рекламе.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Пародия и карнавализация как приемы отсылки к культурному контексту, известному (актуальному) сюжету. Феномен мемов. Гиперболичность рекламы. Анализ рекламных роликов, построенных на пародии, юморе, гиперболе.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13. Суггестивное воздействие. Техники наведения трансового состояния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суггестии в рекламе: конкретность и образность ключевых слов; конкретность и образность качеств; избегание отрицательных частиц «нет» и «не»; речевая динамика; воздействие звукосочетаниями. Техники наведения трансового состояния: показ готового поведенческого образца; искусственные и несуществующие слова; техника рассеивания; персеверация. Анализ рекламных материалов, в которых использованы названные приемы и техники.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14. Речевые стратегии утилизации транса. Техники нейтрализации способности к сопротивлению внушению.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Шесть основных речевых стратегий утилизации транса и нейтрализации сопротивления внушению: трюизм; иллюзия выбора; предположения (пресуппозиции); команда, скрытая в вопросе; использование противоположностей; «полный выбор». Суггестивное значение невербальных форм.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15 Языковое манипулирование и ложные умозаключения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Логические ошибки и запрещенные приемы. Софизмы. Основные приемы пропаганды, применяемые в рекламе. Деформирующее воздействие названных приемов на сознание. Социальная ответственность рекламистов.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16 Алгоритм идентификации манипулятивного воздействия</w:t>
      </w:r>
    </w:p>
    <w:p w:rsidR="00057AFA" w:rsidRDefault="00264FEC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Манипуляция, ее субъект и объект. Причины подверженности обыденного сознания манипуляциям. Сложность распознавания манипуляции ее объектом. Построение алгоритма идентификации манипулятивного воздействия.</w:t>
      </w:r>
    </w:p>
    <w:p w:rsidR="00057AFA" w:rsidRDefault="00057AFA">
      <w:pPr>
        <w:tabs>
          <w:tab w:val="left" w:pos="-851"/>
          <w:tab w:val="left" w:pos="8789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b/>
          <w:sz w:val="24"/>
        </w:rPr>
        <w:tab/>
        <w:t>Форма промежуточной аттестации и фонд оценочных средств</w:t>
      </w:r>
    </w:p>
    <w:p w:rsidR="00057AFA" w:rsidRDefault="00057A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13.1 Формы и оценка текущего контроля</w:t>
      </w:r>
    </w:p>
    <w:p w:rsidR="00057AFA" w:rsidRDefault="00057AFA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темы для рефератов, свободных эссе, проблемных дискуссий: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Различные основания деления рекламы на виды.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и метод. Законодательные особенности. Имидж и репутация.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 и метод. Общие и отличительные черты. Бренд и репутация. 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процесса рекламной деятельности.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Процесс производства рекламы. Основные технологические звенья.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Процесс распространения рекламы – основные закономерности.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Процесс потребления рекламы – основные закономерности.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Аудитория (потребитель) рекламы как объект и субъект 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Манипуляции – способы их выявления и противодействия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эффективности рекламы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Реклама и детектив – сходство и различие.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формы инициативного поиска и анализа интересной рекламы.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нарратива.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Вымышленные и реальные персонажи в рекламе.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Логические ошибки и уловки в рекламе.</w:t>
      </w:r>
    </w:p>
    <w:p w:rsidR="00057AFA" w:rsidRDefault="00264FEC">
      <w:pPr>
        <w:pStyle w:val="a5"/>
        <w:numPr>
          <w:ilvl w:val="0"/>
          <w:numId w:val="14"/>
        </w:numPr>
        <w:spacing w:before="0" w:line="300" w:lineRule="auto"/>
        <w:ind w:left="35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манипулятивного воздействия в рекламе.</w:t>
      </w:r>
    </w:p>
    <w:p w:rsidR="00057AFA" w:rsidRDefault="00057A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текущей работы проводится путем написания студентами свободных эссе.</w:t>
      </w:r>
    </w:p>
    <w:p w:rsidR="00057AFA" w:rsidRDefault="00057A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13.2 Формы и оценка самостоятельной работы</w:t>
      </w: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Самостоятельный анализ рекламных материалов с обсуждением или описанием. Эссе и беседы по темам программы курса.</w:t>
      </w:r>
    </w:p>
    <w:p w:rsidR="00057AFA" w:rsidRDefault="00057A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Первая промежуточная (внутрисеместровая) аттестация в I семестре:</w:t>
      </w:r>
    </w:p>
    <w:p w:rsidR="00057AFA" w:rsidRDefault="00264FEC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Эссе/беседа по структуре рекламной деятельности</w:t>
      </w:r>
    </w:p>
    <w:p w:rsidR="00057AFA" w:rsidRDefault="00264FEC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Эссе/беседа на тему особенностей выразительных средств рекламных сообщений</w:t>
      </w: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Вторая промежуточная (внутрисеместровая) аттестация в I семестре</w:t>
      </w:r>
    </w:p>
    <w:p w:rsidR="00057AFA" w:rsidRDefault="00264FE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Пьер Бурдьё. «</w:t>
      </w:r>
      <w:hyperlink r:id="rId7" w:history="1">
        <w:r>
          <w:rPr>
            <w:rFonts w:ascii="Times New Roman" w:hAnsi="Times New Roman"/>
            <w:sz w:val="24"/>
          </w:rPr>
          <w:t>О телевидении</w:t>
        </w:r>
      </w:hyperlink>
      <w:r>
        <w:rPr>
          <w:rFonts w:ascii="Times New Roman" w:hAnsi="Times New Roman"/>
          <w:sz w:val="24"/>
        </w:rPr>
        <w:t>». Содержание статьи и выводы.</w:t>
      </w:r>
    </w:p>
    <w:p w:rsidR="00057AFA" w:rsidRDefault="00264FE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предложенного рекламного плаката</w:t>
      </w:r>
    </w:p>
    <w:p w:rsidR="00057AFA" w:rsidRDefault="00264FE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Сравнительный анализ рекламных роликов</w:t>
      </w:r>
    </w:p>
    <w:p w:rsidR="00057AFA" w:rsidRDefault="00057A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Первая промежуточная (внутрисеместровая) аттестация во II семестре:</w:t>
      </w:r>
    </w:p>
    <w:p w:rsidR="00057AFA" w:rsidRDefault="00264FEC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Эссе/беседа по структуре рекламного текста.</w:t>
      </w:r>
    </w:p>
    <w:p w:rsidR="00057AFA" w:rsidRDefault="00057AF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Вторая промежуточная (внутрисеместровая) аттестация во II семестре</w:t>
      </w:r>
    </w:p>
    <w:p w:rsidR="00057AFA" w:rsidRDefault="00264FE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Пьер Бурдьё. «</w:t>
      </w:r>
      <w:hyperlink r:id="rId8" w:history="1">
        <w:r>
          <w:rPr>
            <w:rFonts w:ascii="Times New Roman" w:hAnsi="Times New Roman"/>
            <w:sz w:val="24"/>
          </w:rPr>
          <w:t>О телевидении</w:t>
        </w:r>
      </w:hyperlink>
      <w:r>
        <w:rPr>
          <w:rFonts w:ascii="Times New Roman" w:hAnsi="Times New Roman"/>
          <w:sz w:val="24"/>
        </w:rPr>
        <w:t>». Содержание статьи и выводы.</w:t>
      </w:r>
    </w:p>
    <w:p w:rsidR="00057AFA" w:rsidRDefault="00057AF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13.3 Форма и оценка аттестации </w:t>
      </w:r>
    </w:p>
    <w:p w:rsidR="00057AFA" w:rsidRDefault="00264FEC">
      <w:pPr>
        <w:tabs>
          <w:tab w:val="left" w:pos="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Аттестация за I семестр проводится в форме </w:t>
      </w:r>
      <w:r>
        <w:rPr>
          <w:rFonts w:ascii="Times New Roman" w:hAnsi="Times New Roman"/>
          <w:b/>
          <w:sz w:val="24"/>
        </w:rPr>
        <w:t>зачета.</w:t>
      </w:r>
    </w:p>
    <w:p w:rsidR="00057AFA" w:rsidRDefault="00264FEC">
      <w:pPr>
        <w:tabs>
          <w:tab w:val="left" w:pos="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Аттестация по полному курсу проводится в форме </w:t>
      </w:r>
      <w:r>
        <w:rPr>
          <w:rFonts w:ascii="Times New Roman" w:hAnsi="Times New Roman"/>
          <w:b/>
          <w:sz w:val="24"/>
        </w:rPr>
        <w:t>экзамена.</w:t>
      </w:r>
    </w:p>
    <w:p w:rsidR="00057AFA" w:rsidRDefault="00057AFA">
      <w:pPr>
        <w:pStyle w:val="a6"/>
        <w:spacing w:after="0"/>
        <w:ind w:right="0" w:firstLine="0"/>
        <w:rPr>
          <w:b/>
          <w:sz w:val="24"/>
        </w:rPr>
      </w:pPr>
    </w:p>
    <w:p w:rsidR="00057AFA" w:rsidRDefault="00264F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b/>
          <w:sz w:val="24"/>
        </w:rPr>
        <w:t>Ресурсное обеспечение</w:t>
      </w:r>
    </w:p>
    <w:p w:rsidR="00057AFA" w:rsidRDefault="00264FEC">
      <w:pPr>
        <w:pStyle w:val="a6"/>
        <w:numPr>
          <w:ilvl w:val="3"/>
          <w:numId w:val="26"/>
        </w:numPr>
        <w:spacing w:after="0"/>
        <w:ind w:left="0" w:right="0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Официальные документы и нормативные акты</w:t>
      </w:r>
    </w:p>
    <w:p w:rsidR="00057AFA" w:rsidRDefault="00264FEC">
      <w:pPr>
        <w:numPr>
          <w:ilvl w:val="0"/>
          <w:numId w:val="21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РФ "О средствах массовой информации" (Закон о СМИ) от 27.12.1991 N 2124-1</w:t>
      </w:r>
    </w:p>
    <w:p w:rsidR="00057AFA" w:rsidRDefault="00264FEC">
      <w:pPr>
        <w:numPr>
          <w:ilvl w:val="0"/>
          <w:numId w:val="21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«О рекламе» от 13.03.2006 N 38-ФЗ</w:t>
      </w:r>
    </w:p>
    <w:p w:rsidR="00057AFA" w:rsidRDefault="00264FEC">
      <w:pPr>
        <w:numPr>
          <w:ilvl w:val="0"/>
          <w:numId w:val="21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«Об информации, информационных технологиях и о защите информации» от 27 июля 2006 г. N 149-ФЗ</w:t>
      </w:r>
    </w:p>
    <w:p w:rsidR="00057AFA" w:rsidRDefault="00264FEC">
      <w:pPr>
        <w:pStyle w:val="a6"/>
        <w:numPr>
          <w:ilvl w:val="3"/>
          <w:numId w:val="26"/>
        </w:numPr>
        <w:spacing w:after="0"/>
        <w:ind w:left="0" w:right="0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Учебные пособия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Бачило И. Л., Лопатин В. Н., Федотов М. А. Информационное право / Под ред. Б. Т. Топорина. СПб.: Юридический центр Пресс, 2001. – 789 с.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Блинкина-Мельник М.М. Рекламный текст. Задачник для копирайтеров. – М., 2003 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Гальперин П.Я. Введение в психологию. Учебное пособие для вузов. – 6-е изд. – М.: Книжный дом «Университет», 2006. – 336 с.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Егорова-Гантман Е.В., Плешаков К.В., Байбакова Б.В. Политическая реклама. – М.: Центр политического консультирования «Никколо М», 1999. – 240 с.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Кривоносов А. PR-текст в системе публичных коммуникаций. - СПб.: Издательство СПбГУ, 2001.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Пронина Е.Е. Психология журналистского творчества. – М.: Изд-во МГУ, 2003.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Матвеева Л.В., Аникеева Т.Я., Мочалова Ю.В. Психология телевизионной коммуникации. - М.: УМК «Психология», 2000. - 362 с.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Радиожурналистика. – М.: Изд-во МГУ, 2005.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Рихтер А.Г. Правовые основы журналистики. – М., 2002.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Телевизионная журналистика. – М.: Изд-во МГУ, 2005.</w:t>
      </w:r>
    </w:p>
    <w:p w:rsidR="00057AFA" w:rsidRDefault="00264FEC">
      <w:pPr>
        <w:numPr>
          <w:ilvl w:val="0"/>
          <w:numId w:val="29"/>
        </w:numPr>
        <w:tabs>
          <w:tab w:val="left" w:pos="142"/>
          <w:tab w:val="left" w:pos="360"/>
          <w:tab w:val="left" w:pos="8640"/>
          <w:tab w:val="left" w:pos="9214"/>
          <w:tab w:val="left" w:pos="9498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Типология периодической печати. / М.Е.Аникина и др. – М.: Аспект Пресс, 2009.</w:t>
      </w:r>
    </w:p>
    <w:p w:rsidR="00057AFA" w:rsidRDefault="00057AFA">
      <w:pPr>
        <w:tabs>
          <w:tab w:val="left" w:pos="142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Default="00264FEC">
      <w:pPr>
        <w:pStyle w:val="a6"/>
        <w:numPr>
          <w:ilvl w:val="3"/>
          <w:numId w:val="26"/>
        </w:numPr>
        <w:spacing w:after="0"/>
        <w:ind w:left="0" w:right="0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Специальная литература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Бахтин М. М. Творчество Франсуа Рабле и народная культура Средневековья и Ренессанса. (Глава первая). – М.: Художественная литература, 1965.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Библер В.С. Мышление как творчество. (Введение в логику мысленного диалога). – М.: Издательство политической литературы, 1975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Вазюлин В.А. Логика истории. Вопросы теории и методологии. – М.: Изд-во МГУ, 1988. – 328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 в руморологию. Использование слухов на американских выборах. / Сост. С.Василенко; Пер. с англ. Ю.Стома; Предисл. А.Егорова. - М.: Полиграфоцентр-плюс, 2004. – 304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Егорова-Гантман Е.В. Игры в солдатики. Политическая психология президентов. – М.: 2003. – 336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Маркс К., Энгельс Ф.  Немецкая идеология. // К.Маркс и Ф.Энгельс. – Соч., 2-е изд. – Т.3. – С. 7-544. 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Момджян К.Х. Введение в социальную философию. М., 1997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Московичи С. Социальное представление: исторический взгляд // Психологический журнал. – 1995. – Ж1-2. 3. 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Московичи, Серж. От коллективных представлений к социальным. (К истории одного понятия). // Вопросы социологии. – 1992. – Том 1, №2. – С. 83-96.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Отзвук слова. Из опыта работы спичрайтеров первого президента России. / А.Л.Ильин, В.Ф.Кадацкий, К.В.Никифоров, Л.Г.Пихоя. – М.: ЦПК «Никколо М», 1999. – 144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Пропп В.Я. Морфология волшебной сказки. / Редакция, комментарий, указатель И.В.Пешкова – М.: Лабиринт, 2003. – 144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Рат-Вег, Иштван. История человеческой глупости. / Перев с венг. Е.Д.Калитенко и Ю.М. Рогова. – Дубна: ИЦ Феникс, 1996. – 640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Слоттердайк П. Критика цинического разума. / Перев. с нем. А.В. Перцева. – Екатеринбург: Изд-во Уральского университета, 2001. – 584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Улыбина Е.В. Психология обыденного сознания. М.: Смысл, 2001. – 263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Ходорыч, Алексей. Печатная действительность.– «Коммерсантъ-Деньги», 21 февраля 2005 г. "(</w:t>
      </w:r>
      <w:hyperlink r:id="rId9" w:history="1">
        <w:r>
          <w:rPr>
            <w:rFonts w:ascii="Times New Roman" w:hAnsi="Times New Roman"/>
            <w:sz w:val="24"/>
          </w:rPr>
          <w:t>http://www.kommersant.ru/doc.aspx?DocsID=549010</w:t>
        </w:r>
      </w:hyperlink>
      <w:r>
        <w:rPr>
          <w:rFonts w:ascii="Times New Roman" w:hAnsi="Times New Roman"/>
          <w:sz w:val="24"/>
        </w:rPr>
        <w:t>)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Шампань, Патрик. Делать мнение: новая политическая игра. М.: Socio-Logos, 1997. – 317 с.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Шампань, Патрик. Манифестация: производство политического события.// Вопросы социологии. – 1992. – Том 1, №2. – С. 35-59.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Эльконинова Л., Эльконин Б.Д. Знаковое опосредование, волшебная сказка и субъектность действия //Вестник МГУ. Сер. Психология. – 1993. – Ж 2. С. 62 - 70.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Политический Гольфстрим. Интервью с Алексеем Ситниковым, доктором психологических наук, директором Института коммуникационного менеджмента ГУ-ВШЭ, президентом Консалтинговой группы «ИМИДЖ-Контакт» // Популярная психология. –2004. – №6. (</w:t>
      </w:r>
      <w:hyperlink r:id="rId10" w:history="1">
        <w:r>
          <w:rPr>
            <w:rFonts w:ascii="Times New Roman" w:hAnsi="Times New Roman"/>
            <w:sz w:val="24"/>
          </w:rPr>
          <w:t>http://www.sitnikov.com/sitnikov/publication/?id=215</w:t>
        </w:r>
      </w:hyperlink>
      <w:r>
        <w:rPr>
          <w:rFonts w:ascii="Times New Roman" w:hAnsi="Times New Roman"/>
          <w:sz w:val="24"/>
        </w:rPr>
        <w:t>)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всё, чем мы будем гордиться, если ты перестанешь мечтать. // Электронная версия журнал Со-Общение,  </w:t>
      </w:r>
      <w:hyperlink r:id="rId11" w:history="1">
        <w:r>
          <w:rPr>
            <w:rFonts w:ascii="Times New Roman" w:hAnsi="Times New Roman"/>
            <w:sz w:val="24"/>
          </w:rPr>
          <w:t>http://www.soob.ru/dream</w:t>
        </w:r>
      </w:hyperlink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Сегал А.П. «Имидж – ничто, репутация – уже кое-что». – журнал «Со-Общение», №4, 2003, С.49-52. (</w:t>
      </w:r>
      <w:hyperlink r:id="rId12" w:history="1">
        <w:r>
          <w:rPr>
            <w:rFonts w:ascii="Times New Roman" w:hAnsi="Times New Roman"/>
            <w:sz w:val="24"/>
          </w:rPr>
          <w:t>http://www.soob.ru/n/2003/4/practice/5</w:t>
        </w:r>
      </w:hyperlink>
      <w:r>
        <w:rPr>
          <w:rFonts w:ascii="Times New Roman" w:hAnsi="Times New Roman"/>
          <w:sz w:val="24"/>
        </w:rPr>
        <w:t>)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Сегал А.П. «Как бороться со слухами» – Журнал «Бизнес» (Киев) №17 (640), 25 апреля 2005 г (</w:t>
      </w:r>
      <w:hyperlink r:id="rId13" w:history="1">
        <w:r>
          <w:rPr>
            <w:rFonts w:ascii="Times New Roman" w:hAnsi="Times New Roman"/>
            <w:sz w:val="24"/>
          </w:rPr>
          <w:t>http://www.business.ua/i640/a21906</w:t>
        </w:r>
      </w:hyperlink>
      <w:r>
        <w:rPr>
          <w:rFonts w:ascii="Times New Roman" w:hAnsi="Times New Roman"/>
          <w:sz w:val="24"/>
        </w:rPr>
        <w:t>)</w:t>
      </w:r>
    </w:p>
    <w:p w:rsidR="00057AFA" w:rsidRDefault="00264FEC">
      <w:pPr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Андрей Гедзь. «Стасик-шоу. Что стоит за откровениями Белковского.» –  9 октября 2004 г., </w:t>
      </w:r>
      <w:hyperlink r:id="rId14" w:history="1">
        <w:r>
          <w:rPr>
            <w:rFonts w:ascii="Times New Roman" w:hAnsi="Times New Roman"/>
            <w:sz w:val="24"/>
          </w:rPr>
          <w:t>http://www.pravda.info/kompromat/1376.html</w:t>
        </w:r>
      </w:hyperlink>
    </w:p>
    <w:p w:rsidR="00057AFA" w:rsidRDefault="00057AFA">
      <w:pPr>
        <w:ind w:left="708"/>
      </w:pPr>
    </w:p>
    <w:p w:rsidR="00057AFA" w:rsidRDefault="00264FEC">
      <w:pPr>
        <w:pStyle w:val="a6"/>
        <w:numPr>
          <w:ilvl w:val="3"/>
          <w:numId w:val="26"/>
        </w:numPr>
        <w:spacing w:after="0"/>
        <w:ind w:left="0" w:right="0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Факультативное чтение для углубленного изучения темы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А.С.Грибоедов. Горе от ума.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А.Н.Островский. Гроза.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И.Ильф и Е.Петров. Двенадцать стульев.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В.Пелевин. Generation P.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В.Пелевин. Принц Госплана.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Кристофер Бакли. Здесь курят.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Кристофер Бакли. Флоренс Аравийская.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Кристофер Бакли. Господь мой брокер.</w:t>
      </w:r>
    </w:p>
    <w:p w:rsidR="00057AFA" w:rsidRDefault="00264FEC">
      <w:pPr>
        <w:numPr>
          <w:ilvl w:val="0"/>
          <w:numId w:val="24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Фредерик Бегбедер. 99 франков.</w:t>
      </w:r>
    </w:p>
    <w:p w:rsidR="00057AFA" w:rsidRDefault="00057AFA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057AFA" w:rsidRDefault="00264FEC">
      <w:pPr>
        <w:pStyle w:val="a6"/>
        <w:numPr>
          <w:ilvl w:val="3"/>
          <w:numId w:val="26"/>
        </w:numPr>
        <w:spacing w:after="0"/>
        <w:ind w:left="0" w:right="0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Рекомендуемые фильмы</w:t>
      </w:r>
    </w:p>
    <w:p w:rsidR="00057AFA" w:rsidRDefault="00264FEC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Женитьба Бальзаминова. СССР, 1964. Режиссёр Константин Воинов, в главных</w:t>
      </w:r>
      <w:r>
        <w:rPr>
          <w:rFonts w:ascii="Times New Roman" w:hAnsi="Times New Roman"/>
          <w:sz w:val="24"/>
        </w:rPr>
        <w:br/>
        <w:t>ролях Георгий Вицин ,Людмила Шагалова, Лидия Смирнова, Нонна Мордюкова.</w:t>
      </w:r>
    </w:p>
    <w:p w:rsidR="00057AFA" w:rsidRDefault="00264FEC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Плутовство («Wag the dog» – «Хвост виляет собакой»). США, 1997. Режиссер Барри Левинсон, в гл.ролях </w:t>
      </w:r>
      <w:hyperlink r:id="rId15" w:tooltip="Де Ниро, Роберт" w:history="1">
        <w:r>
          <w:rPr>
            <w:rFonts w:ascii="Times New Roman" w:hAnsi="Times New Roman"/>
            <w:sz w:val="24"/>
          </w:rPr>
          <w:t>Роберт де Ниро</w:t>
        </w:r>
      </w:hyperlink>
      <w:r>
        <w:rPr>
          <w:rFonts w:ascii="Times New Roman" w:hAnsi="Times New Roman"/>
          <w:sz w:val="24"/>
        </w:rPr>
        <w:t xml:space="preserve">, </w:t>
      </w:r>
      <w:hyperlink r:id="rId16" w:tooltip="Хоффман, Дастин" w:history="1">
        <w:r>
          <w:rPr>
            <w:rFonts w:ascii="Times New Roman" w:hAnsi="Times New Roman"/>
            <w:sz w:val="24"/>
          </w:rPr>
          <w:t>Дастин Хоффман</w:t>
        </w:r>
      </w:hyperlink>
      <w:r>
        <w:rPr>
          <w:rFonts w:ascii="Times New Roman" w:hAnsi="Times New Roman"/>
          <w:sz w:val="24"/>
        </w:rPr>
        <w:t>.</w:t>
      </w:r>
    </w:p>
    <w:p w:rsidR="00057AFA" w:rsidRDefault="00264FEC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Мама, не горюй 2. Россия, 2005. Режиссёр Максим Пежемский, в главных ролях Юрий Куценко, Сергей Колтаков, Андрей Панин</w:t>
      </w:r>
    </w:p>
    <w:p w:rsidR="00057AFA" w:rsidRDefault="00264FEC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выборов. Россия, 2007. Режиссёр Олег Фомин, в главных ролях: Квартет И, Михаил Ефремов, Василий Уткин, Нонна Гришаева, Максим Виторган</w:t>
      </w:r>
    </w:p>
    <w:p w:rsidR="00057AFA" w:rsidRDefault="00264FEC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радио. Россия, 2008. Режиссёр Дмитрий Дьяченко, в гл.ролях: Квартет И, , Михаил Козырев, Михаил Полицеймако Нонна Гришаева, Максим Виторган, Николай Фоменко</w:t>
      </w:r>
    </w:p>
    <w:p w:rsidR="00057AFA" w:rsidRDefault="00264FEC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Здесь</w:t>
      </w:r>
      <w:r w:rsidRPr="00D12E4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курят</w:t>
      </w:r>
      <w:r w:rsidRPr="00D12E4E">
        <w:rPr>
          <w:rFonts w:ascii="Times New Roman" w:hAnsi="Times New Roman"/>
          <w:sz w:val="24"/>
          <w:lang w:val="en-US"/>
        </w:rPr>
        <w:t xml:space="preserve">. (Thank You for Smoking). </w:t>
      </w:r>
      <w:r>
        <w:rPr>
          <w:rFonts w:ascii="Times New Roman" w:hAnsi="Times New Roman"/>
          <w:sz w:val="24"/>
        </w:rPr>
        <w:t>США, 2005. Режиссер Джейсон Райтман. Сценарий Джейсон Райтман, Кристофер Бакли. В ролях: Аарон Экхарт, Мария Белло, Камерон Брайт.</w:t>
      </w:r>
    </w:p>
    <w:p w:rsidR="00057AFA" w:rsidRDefault="00264FEC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99 франков. Франция, 2007. Режиссёр Ян Кунен, авторы сценария: Фредерик Бегбедер (роман), Николя &amp; Брюно, Ян Кунен. В главных ролях Жан Дюжарден, Жослин Киврен.</w:t>
      </w:r>
    </w:p>
    <w:p w:rsidR="00057AFA" w:rsidRDefault="00057AFA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057AFA" w:rsidRDefault="00264FEC">
      <w:pPr>
        <w:pStyle w:val="a6"/>
        <w:numPr>
          <w:ilvl w:val="3"/>
          <w:numId w:val="26"/>
        </w:numPr>
        <w:spacing w:after="0"/>
        <w:ind w:left="0" w:right="0"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>Перечень рекомендуемых информационных ресурсов:</w:t>
      </w:r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Национальная философская энциклопедия </w:t>
      </w:r>
      <w:hyperlink r:id="rId17" w:history="1">
        <w:r>
          <w:rPr>
            <w:rFonts w:ascii="Times New Roman" w:hAnsi="Times New Roman"/>
            <w:sz w:val="24"/>
          </w:rPr>
          <w:t>http://terme.ru/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Философский портал </w:t>
      </w:r>
      <w:hyperlink r:id="rId18" w:history="1">
        <w:r>
          <w:rPr>
            <w:rFonts w:ascii="Times New Roman" w:hAnsi="Times New Roman"/>
            <w:sz w:val="24"/>
          </w:rPr>
          <w:t>http://www.philosophy.ru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Портал «Социально-гуманитарное и политологическое образование» </w:t>
      </w:r>
      <w:hyperlink r:id="rId19" w:history="1">
        <w:r>
          <w:rPr>
            <w:rFonts w:ascii="Times New Roman" w:hAnsi="Times New Roman"/>
            <w:sz w:val="24"/>
          </w:rPr>
          <w:t>http://www.humanities.edu.ru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портал «Российское образование» </w:t>
      </w:r>
      <w:hyperlink r:id="rId20" w:history="1">
        <w:r>
          <w:rPr>
            <w:rFonts w:ascii="Times New Roman" w:hAnsi="Times New Roman"/>
            <w:sz w:val="24"/>
          </w:rPr>
          <w:t>http://www.edu.ru/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Портал «Философия online» </w:t>
      </w:r>
      <w:hyperlink r:id="rId21" w:history="1">
        <w:r>
          <w:rPr>
            <w:rFonts w:ascii="Times New Roman" w:hAnsi="Times New Roman"/>
            <w:sz w:val="24"/>
          </w:rPr>
          <w:t>http://phenomen.ru/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библиотека по философии: </w:t>
      </w:r>
      <w:hyperlink r:id="rId22" w:history="1">
        <w:r>
          <w:rPr>
            <w:rFonts w:ascii="Times New Roman" w:hAnsi="Times New Roman"/>
            <w:sz w:val="24"/>
          </w:rPr>
          <w:t>http://filosof.historic.ru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гуманитарная библиотека </w:t>
      </w:r>
      <w:hyperlink r:id="rId23" w:history="1">
        <w:r>
          <w:rPr>
            <w:rFonts w:ascii="Times New Roman" w:hAnsi="Times New Roman"/>
            <w:sz w:val="24"/>
          </w:rPr>
          <w:t>http://www.gumfak.ru/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Britannica - </w:t>
      </w:r>
      <w:hyperlink r:id="rId24" w:history="1">
        <w:r>
          <w:rPr>
            <w:rFonts w:ascii="Times New Roman" w:hAnsi="Times New Roman"/>
            <w:sz w:val="24"/>
          </w:rPr>
          <w:t>www.britannica.com</w:t>
        </w:r>
      </w:hyperlink>
    </w:p>
    <w:p w:rsidR="00057AFA" w:rsidRPr="00D12E4E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  <w:lang w:val="en-US"/>
        </w:rPr>
      </w:pPr>
      <w:r w:rsidRPr="00D12E4E">
        <w:rPr>
          <w:rFonts w:ascii="Times New Roman" w:hAnsi="Times New Roman"/>
          <w:sz w:val="24"/>
          <w:lang w:val="en-US"/>
        </w:rPr>
        <w:t xml:space="preserve">Stanford Encyclopedia of Philosophy </w:t>
      </w:r>
      <w:hyperlink r:id="rId25" w:history="1">
        <w:r w:rsidRPr="00D12E4E">
          <w:rPr>
            <w:rFonts w:ascii="Times New Roman" w:hAnsi="Times New Roman"/>
            <w:sz w:val="24"/>
            <w:lang w:val="en-US"/>
          </w:rPr>
          <w:t>http://plato.stanford.edu/</w:t>
        </w:r>
      </w:hyperlink>
    </w:p>
    <w:p w:rsidR="00057AFA" w:rsidRPr="00D12E4E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  <w:lang w:val="en-US"/>
        </w:rPr>
      </w:pPr>
      <w:r w:rsidRPr="00D12E4E">
        <w:rPr>
          <w:rFonts w:ascii="Times New Roman" w:hAnsi="Times New Roman"/>
          <w:sz w:val="24"/>
          <w:lang w:val="en-US"/>
        </w:rPr>
        <w:t xml:space="preserve">The Internet Encyclopedia of Philosophy (IEP) </w:t>
      </w:r>
      <w:hyperlink r:id="rId26" w:history="1">
        <w:r w:rsidRPr="00D12E4E">
          <w:rPr>
            <w:rFonts w:ascii="Times New Roman" w:hAnsi="Times New Roman"/>
            <w:sz w:val="24"/>
            <w:lang w:val="en-US"/>
          </w:rPr>
          <w:t>http://www.iep.utm.edu/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Портал журнала «СоОбщение» </w:t>
      </w:r>
      <w:hyperlink r:id="rId27" w:history="1">
        <w:r>
          <w:rPr>
            <w:rFonts w:ascii="Times New Roman" w:hAnsi="Times New Roman"/>
            <w:sz w:val="24"/>
          </w:rPr>
          <w:t>http://www.soob.ru/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Портал журнала «Советник» </w:t>
      </w:r>
      <w:hyperlink r:id="rId28" w:history="1">
        <w:r>
          <w:rPr>
            <w:rFonts w:ascii="Times New Roman" w:hAnsi="Times New Roman"/>
            <w:sz w:val="24"/>
          </w:rPr>
          <w:t>http://www.sovetnik.ru/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Портал РАСО </w:t>
      </w:r>
      <w:hyperlink r:id="rId29" w:history="1">
        <w:r>
          <w:rPr>
            <w:rFonts w:ascii="Times New Roman" w:hAnsi="Times New Roman"/>
            <w:sz w:val="24"/>
          </w:rPr>
          <w:t>http://www.raso.ru/</w:t>
        </w:r>
      </w:hyperlink>
    </w:p>
    <w:p w:rsidR="00057AFA" w:rsidRDefault="00264FEC">
      <w:pPr>
        <w:numPr>
          <w:ilvl w:val="0"/>
          <w:numId w:val="30"/>
        </w:numPr>
        <w:spacing w:after="0" w:line="240" w:lineRule="auto"/>
        <w:ind w:left="357" w:hanging="35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Порталы основных федеральных печатных СМИ, ТВ-каналов и ИА.</w:t>
      </w:r>
    </w:p>
    <w:p w:rsidR="00057AFA" w:rsidRDefault="00057AFA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057AFA" w:rsidRDefault="00264FEC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15. </w:t>
      </w:r>
      <w:r>
        <w:rPr>
          <w:sz w:val="24"/>
          <w:u w:val="single"/>
        </w:rPr>
        <w:t>Материально-техническое обеспечение дисциплины</w:t>
      </w:r>
    </w:p>
    <w:p w:rsidR="00057AFA" w:rsidRDefault="00264FEC">
      <w:pPr>
        <w:jc w:val="both"/>
        <w:rPr>
          <w:sz w:val="24"/>
        </w:rPr>
      </w:pPr>
      <w:r>
        <w:rPr>
          <w:sz w:val="24"/>
        </w:rPr>
        <w:t>А. Помещения: Аудитории философского факультета МГУ -  учебный корпус «Шуваловский».</w:t>
      </w:r>
    </w:p>
    <w:p w:rsidR="00057AFA" w:rsidRDefault="00264FEC">
      <w:pPr>
        <w:jc w:val="both"/>
        <w:rPr>
          <w:color w:val="000000"/>
          <w:sz w:val="24"/>
        </w:rPr>
      </w:pPr>
      <w:r>
        <w:rPr>
          <w:sz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057AFA" w:rsidRDefault="00264FE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B429F">
        <w:rPr>
          <w:rFonts w:ascii="Times New Roman" w:hAnsi="Times New Roman"/>
          <w:b/>
          <w:sz w:val="24"/>
        </w:rPr>
        <w:t>16.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Язык преподавания:</w:t>
      </w:r>
      <w:r>
        <w:rPr>
          <w:rFonts w:ascii="Times New Roman" w:hAnsi="Times New Roman"/>
          <w:sz w:val="24"/>
        </w:rPr>
        <w:t xml:space="preserve"> русский</w:t>
      </w:r>
    </w:p>
    <w:p w:rsidR="00057AFA" w:rsidRDefault="00057AFA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AFA" w:rsidRPr="00FB429F" w:rsidRDefault="00FB429F" w:rsidP="00FB429F">
      <w:pPr>
        <w:rPr>
          <w:rFonts w:ascii="Times New Roman" w:hAnsi="Times New Roman"/>
          <w:sz w:val="24"/>
          <w:szCs w:val="24"/>
        </w:rPr>
      </w:pPr>
      <w:r w:rsidRPr="00FB1FB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BE7E7C">
        <w:rPr>
          <w:rFonts w:ascii="Times New Roman" w:hAnsi="Times New Roman"/>
          <w:sz w:val="24"/>
          <w:szCs w:val="24"/>
        </w:rPr>
        <w:t xml:space="preserve">. </w:t>
      </w:r>
      <w:r w:rsidRPr="00BE7E7C">
        <w:rPr>
          <w:rFonts w:ascii="Times New Roman" w:hAnsi="Times New Roman"/>
          <w:b/>
          <w:sz w:val="24"/>
          <w:szCs w:val="24"/>
        </w:rPr>
        <w:t>Разработчик программы</w:t>
      </w:r>
      <w:r w:rsidRPr="00BE7E7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264FEC">
        <w:rPr>
          <w:rFonts w:ascii="Times New Roman" w:hAnsi="Times New Roman"/>
          <w:sz w:val="24"/>
        </w:rPr>
        <w:t>Александр Петрович Сегал, к.филос.н., с.н.с.</w:t>
      </w:r>
    </w:p>
    <w:sectPr w:rsidR="00057AFA" w:rsidRPr="00FB429F" w:rsidSect="00057AFA">
      <w:headerReference w:type="default" r:id="rId30"/>
      <w:headerReference w:type="first" r:id="rId31"/>
      <w:pgSz w:w="11906" w:h="16838" w:code="9"/>
      <w:pgMar w:top="851" w:right="851" w:bottom="851" w:left="1701" w:header="426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13" w:rsidRDefault="00757B13" w:rsidP="00057AFA">
      <w:pPr>
        <w:spacing w:after="0" w:line="240" w:lineRule="auto"/>
      </w:pPr>
      <w:r>
        <w:separator/>
      </w:r>
    </w:p>
  </w:endnote>
  <w:endnote w:type="continuationSeparator" w:id="1">
    <w:p w:rsidR="00757B13" w:rsidRDefault="00757B13" w:rsidP="0005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13" w:rsidRDefault="00757B13" w:rsidP="00057AFA">
      <w:pPr>
        <w:spacing w:after="0" w:line="240" w:lineRule="auto"/>
      </w:pPr>
      <w:r>
        <w:separator/>
      </w:r>
    </w:p>
  </w:footnote>
  <w:footnote w:type="continuationSeparator" w:id="1">
    <w:p w:rsidR="00757B13" w:rsidRDefault="00757B13" w:rsidP="0005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FA" w:rsidRDefault="004E7470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264FEC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B429F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E" w:rsidRDefault="0039668E">
    <w:pPr>
      <w:pStyle w:val="aa"/>
    </w:pPr>
    <w:r>
      <w:rPr>
        <w:sz w:val="20"/>
      </w:rPr>
      <w:t xml:space="preserve">Философский факультет МГУ имени М.В.Ломоносова                                                            </w:t>
    </w:r>
    <w:r w:rsidR="004E7470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4E7470">
      <w:rPr>
        <w:sz w:val="16"/>
        <w:szCs w:val="16"/>
      </w:rPr>
      <w:fldChar w:fldCharType="separate"/>
    </w:r>
    <w:r w:rsidR="00FB429F">
      <w:rPr>
        <w:noProof/>
        <w:sz w:val="16"/>
        <w:szCs w:val="16"/>
      </w:rPr>
      <w:t>07.02.2021 20:03</w:t>
    </w:r>
    <w:r w:rsidR="004E7470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464"/>
    <w:multiLevelType w:val="multilevel"/>
    <w:tmpl w:val="CE7880FA"/>
    <w:lvl w:ilvl="0">
      <w:start w:val="1"/>
      <w:numFmt w:val="upperRoman"/>
      <w:lvlText w:val="Раздел %1."/>
      <w:lvlJc w:val="left"/>
      <w:pPr>
        <w:ind w:left="2381" w:hanging="1644"/>
      </w:pPr>
    </w:lvl>
    <w:lvl w:ilvl="1">
      <w:start w:val="1"/>
      <w:numFmt w:val="decimal"/>
      <w:lvlRestart w:val="0"/>
      <w:isLgl/>
      <w:lvlText w:val="Тема %2."/>
      <w:lvlJc w:val="left"/>
      <w:pPr>
        <w:ind w:left="2438" w:hanging="1474"/>
      </w:pPr>
    </w:lvl>
    <w:lvl w:ilvl="2">
      <w:start w:val="1"/>
      <w:numFmt w:val="decimal"/>
      <w:isLgl/>
      <w:lvlText w:val="%1.%2.%3."/>
      <w:lvlJc w:val="left"/>
      <w:pPr>
        <w:ind w:left="1207" w:hanging="923"/>
      </w:pPr>
    </w:lvl>
    <w:lvl w:ilvl="3">
      <w:start w:val="1"/>
      <w:numFmt w:val="decimal"/>
      <w:lvlRestart w:val="0"/>
      <w:isLgl/>
      <w:lvlText w:val="%3.%2.%1.%4."/>
      <w:lvlJc w:val="left"/>
      <w:pPr>
        <w:ind w:left="1843" w:hanging="1417"/>
      </w:pPr>
    </w:lvl>
    <w:lvl w:ilvl="4">
      <w:start w:val="1"/>
      <w:numFmt w:val="decimal"/>
      <w:isLgl/>
      <w:lvlText w:val="%1.%2.%3.%4.%5."/>
      <w:lvlJc w:val="left"/>
      <w:pPr>
        <w:ind w:left="1657" w:hanging="1080"/>
      </w:pPr>
    </w:lvl>
    <w:lvl w:ilvl="5">
      <w:start w:val="1"/>
      <w:numFmt w:val="decimal"/>
      <w:isLgl/>
      <w:lvlText w:val="%1.%2.%3.%4.%5.%6."/>
      <w:lvlJc w:val="left"/>
      <w:pPr>
        <w:ind w:left="1702" w:hanging="1080"/>
      </w:pPr>
    </w:lvl>
    <w:lvl w:ilvl="6">
      <w:start w:val="1"/>
      <w:numFmt w:val="decimal"/>
      <w:isLgl/>
      <w:lvlText w:val="%1.%2.%3.%4.%5.%6.%7."/>
      <w:lvlJc w:val="left"/>
      <w:pPr>
        <w:ind w:left="2107" w:hanging="1438"/>
      </w:pPr>
    </w:lvl>
    <w:lvl w:ilvl="7">
      <w:start w:val="1"/>
      <w:numFmt w:val="decimal"/>
      <w:isLgl/>
      <w:lvlText w:val="%1.%2.%3.%4.%5.%6.%7.%8."/>
      <w:lvlJc w:val="left"/>
      <w:pPr>
        <w:ind w:left="2152" w:hanging="1440"/>
      </w:p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</w:lvl>
  </w:abstractNum>
  <w:abstractNum w:abstractNumId="1">
    <w:nsid w:val="0353348B"/>
    <w:multiLevelType w:val="hybridMultilevel"/>
    <w:tmpl w:val="9396570A"/>
    <w:lvl w:ilvl="0" w:tplc="89760FA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>
    <w:nsid w:val="0D28660C"/>
    <w:multiLevelType w:val="hybridMultilevel"/>
    <w:tmpl w:val="B5B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200C64"/>
    <w:multiLevelType w:val="hybridMultilevel"/>
    <w:tmpl w:val="FAA41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430EF"/>
    <w:multiLevelType w:val="hybridMultilevel"/>
    <w:tmpl w:val="5D644FD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5">
    <w:nsid w:val="148268BE"/>
    <w:multiLevelType w:val="hybridMultilevel"/>
    <w:tmpl w:val="9126EFF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6">
    <w:nsid w:val="191A2A86"/>
    <w:multiLevelType w:val="hybridMultilevel"/>
    <w:tmpl w:val="08D2A850"/>
    <w:lvl w:ilvl="0" w:tplc="2FF2B22E">
      <w:start w:val="1"/>
      <w:numFmt w:val="bullet"/>
      <w:lvlText w:val=""/>
      <w:lvlJc w:val="left"/>
      <w:pPr>
        <w:ind w:left="1117" w:hanging="360"/>
      </w:pPr>
      <w:rPr>
        <w:rFonts w:ascii="Symbol" w:hAnsi="Symbol"/>
      </w:rPr>
    </w:lvl>
    <w:lvl w:ilvl="1" w:tplc="7400BBE0">
      <w:start w:val="1"/>
      <w:numFmt w:val="russianLower"/>
      <w:lvlText w:val="%2)."/>
      <w:lvlJc w:val="left"/>
      <w:pPr>
        <w:ind w:left="1920" w:hanging="360"/>
      </w:pPr>
    </w:lvl>
    <w:lvl w:ilvl="2" w:tplc="DC3C8578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D85E4C18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946C71DC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8C0E77F0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974EFB22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5A25D38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98C8DF0E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7">
    <w:nsid w:val="1EBE1472"/>
    <w:multiLevelType w:val="hybridMultilevel"/>
    <w:tmpl w:val="537417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B46E1"/>
    <w:multiLevelType w:val="multilevel"/>
    <w:tmpl w:val="2D9C22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2D45177"/>
    <w:multiLevelType w:val="hybridMultilevel"/>
    <w:tmpl w:val="724A1E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>
    <w:nsid w:val="286C5F60"/>
    <w:multiLevelType w:val="hybridMultilevel"/>
    <w:tmpl w:val="37E49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18301A"/>
    <w:multiLevelType w:val="hybridMultilevel"/>
    <w:tmpl w:val="3E8E1E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29B77CAB"/>
    <w:multiLevelType w:val="hybridMultilevel"/>
    <w:tmpl w:val="E350303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2C5447B5"/>
    <w:multiLevelType w:val="hybridMultilevel"/>
    <w:tmpl w:val="E2D6B6D8"/>
    <w:lvl w:ilvl="0" w:tplc="FC00273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82A6C"/>
    <w:multiLevelType w:val="hybridMultilevel"/>
    <w:tmpl w:val="8EF01B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>
    <w:nsid w:val="33EB7289"/>
    <w:multiLevelType w:val="hybridMultilevel"/>
    <w:tmpl w:val="CA7A2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300F0D"/>
    <w:multiLevelType w:val="hybridMultilevel"/>
    <w:tmpl w:val="6DB41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475439"/>
    <w:multiLevelType w:val="hybridMultilevel"/>
    <w:tmpl w:val="0BE4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2280057"/>
    <w:multiLevelType w:val="multilevel"/>
    <w:tmpl w:val="2E48CA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BD6558"/>
    <w:multiLevelType w:val="hybridMultilevel"/>
    <w:tmpl w:val="0E98384E"/>
    <w:lvl w:ilvl="0" w:tplc="FC00273C">
      <w:start w:val="1"/>
      <w:numFmt w:val="decimal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86A1850"/>
    <w:multiLevelType w:val="hybridMultilevel"/>
    <w:tmpl w:val="A626B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5B842EF5"/>
    <w:multiLevelType w:val="hybridMultilevel"/>
    <w:tmpl w:val="99CCC3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>
    <w:nsid w:val="5DBB272F"/>
    <w:multiLevelType w:val="hybridMultilevel"/>
    <w:tmpl w:val="4596FE2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23">
    <w:nsid w:val="5DEB4A77"/>
    <w:multiLevelType w:val="hybridMultilevel"/>
    <w:tmpl w:val="4BFED4E0"/>
    <w:lvl w:ilvl="0" w:tplc="FC00273C">
      <w:start w:val="1"/>
      <w:numFmt w:val="decimal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4AE2FEB"/>
    <w:multiLevelType w:val="hybridMultilevel"/>
    <w:tmpl w:val="C268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005EB9"/>
    <w:multiLevelType w:val="hybridMultilevel"/>
    <w:tmpl w:val="33DA8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68961E3A"/>
    <w:multiLevelType w:val="hybridMultilevel"/>
    <w:tmpl w:val="ECFAE320"/>
    <w:lvl w:ilvl="0" w:tplc="B94ADD84">
      <w:start w:val="1"/>
      <w:numFmt w:val="bullet"/>
      <w:lvlText w:val=""/>
      <w:lvlJc w:val="left"/>
      <w:pPr>
        <w:ind w:left="1117" w:hanging="360"/>
      </w:pPr>
      <w:rPr>
        <w:rFonts w:ascii="Symbol" w:hAnsi="Symbol"/>
      </w:rPr>
    </w:lvl>
    <w:lvl w:ilvl="1" w:tplc="7400BBE0">
      <w:start w:val="1"/>
      <w:numFmt w:val="russianLower"/>
      <w:lvlText w:val="%2)."/>
      <w:lvlJc w:val="left"/>
      <w:pPr>
        <w:ind w:left="1920" w:hanging="360"/>
      </w:pPr>
    </w:lvl>
    <w:lvl w:ilvl="2" w:tplc="F7B8D90A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700E980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919A2B58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134225FA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6AA81F7E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A3AC9690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7D1C2144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27">
    <w:nsid w:val="69373B7B"/>
    <w:multiLevelType w:val="hybridMultilevel"/>
    <w:tmpl w:val="37E84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0C4D8D"/>
    <w:multiLevelType w:val="hybridMultilevel"/>
    <w:tmpl w:val="E2C8CC2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29">
    <w:nsid w:val="71DE1992"/>
    <w:multiLevelType w:val="hybridMultilevel"/>
    <w:tmpl w:val="6C5A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C694E"/>
    <w:multiLevelType w:val="hybridMultilevel"/>
    <w:tmpl w:val="AC84D76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31">
    <w:nsid w:val="7D22453A"/>
    <w:multiLevelType w:val="hybridMultilevel"/>
    <w:tmpl w:val="54C215B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32">
    <w:nsid w:val="7DEA3E4B"/>
    <w:multiLevelType w:val="hybridMultilevel"/>
    <w:tmpl w:val="0DB2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20"/>
  </w:num>
  <w:num w:numId="5">
    <w:abstractNumId w:val="2"/>
  </w:num>
  <w:num w:numId="6">
    <w:abstractNumId w:val="17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29"/>
  </w:num>
  <w:num w:numId="14">
    <w:abstractNumId w:val="32"/>
  </w:num>
  <w:num w:numId="15">
    <w:abstractNumId w:val="27"/>
  </w:num>
  <w:num w:numId="16">
    <w:abstractNumId w:val="25"/>
  </w:num>
  <w:num w:numId="17">
    <w:abstractNumId w:val="13"/>
  </w:num>
  <w:num w:numId="18">
    <w:abstractNumId w:val="19"/>
  </w:num>
  <w:num w:numId="19">
    <w:abstractNumId w:val="23"/>
  </w:num>
  <w:num w:numId="20">
    <w:abstractNumId w:val="10"/>
  </w:num>
  <w:num w:numId="21">
    <w:abstractNumId w:val="31"/>
  </w:num>
  <w:num w:numId="22">
    <w:abstractNumId w:val="22"/>
  </w:num>
  <w:num w:numId="23">
    <w:abstractNumId w:val="4"/>
  </w:num>
  <w:num w:numId="24">
    <w:abstractNumId w:val="30"/>
  </w:num>
  <w:num w:numId="25">
    <w:abstractNumId w:val="5"/>
  </w:num>
  <w:num w:numId="26">
    <w:abstractNumId w:val="18"/>
  </w:num>
  <w:num w:numId="27">
    <w:abstractNumId w:val="8"/>
  </w:num>
  <w:num w:numId="28">
    <w:abstractNumId w:val="24"/>
  </w:num>
  <w:num w:numId="29">
    <w:abstractNumId w:val="28"/>
  </w:num>
  <w:num w:numId="30">
    <w:abstractNumId w:val="21"/>
  </w:num>
  <w:num w:numId="31">
    <w:abstractNumId w:val="6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AFA"/>
    <w:rsid w:val="00037A14"/>
    <w:rsid w:val="00057AFA"/>
    <w:rsid w:val="00264FEC"/>
    <w:rsid w:val="0039668E"/>
    <w:rsid w:val="004E7470"/>
    <w:rsid w:val="00757B13"/>
    <w:rsid w:val="00C84E39"/>
    <w:rsid w:val="00D12E4E"/>
    <w:rsid w:val="00FB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FA"/>
  </w:style>
  <w:style w:type="paragraph" w:styleId="1">
    <w:name w:val="heading 1"/>
    <w:basedOn w:val="a"/>
    <w:next w:val="a"/>
    <w:link w:val="10"/>
    <w:qFormat/>
    <w:rsid w:val="00057AFA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rsid w:val="00057AFA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057AFA"/>
    <w:pPr>
      <w:keepNext/>
      <w:spacing w:before="240" w:after="12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semiHidden/>
    <w:qFormat/>
    <w:rsid w:val="00057AFA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5">
    <w:name w:val="heading 5"/>
    <w:basedOn w:val="a"/>
    <w:next w:val="a"/>
    <w:link w:val="50"/>
    <w:qFormat/>
    <w:rsid w:val="00057AFA"/>
    <w:pPr>
      <w:spacing w:before="240" w:after="60" w:line="240" w:lineRule="auto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rsid w:val="00057AFA"/>
    <w:rPr>
      <w:rFonts w:ascii="Times New Roman" w:hAnsi="Times New Roman"/>
      <w:color w:val="000000"/>
      <w:sz w:val="20"/>
      <w:u w:color="000000"/>
    </w:rPr>
  </w:style>
  <w:style w:type="paragraph" w:styleId="a5">
    <w:name w:val="List Paragraph"/>
    <w:basedOn w:val="a"/>
    <w:qFormat/>
    <w:rsid w:val="00057AFA"/>
    <w:pPr>
      <w:spacing w:before="120" w:after="0" w:line="240" w:lineRule="auto"/>
      <w:ind w:left="720" w:firstLine="397"/>
      <w:contextualSpacing/>
    </w:pPr>
    <w:rPr>
      <w:sz w:val="24"/>
    </w:rPr>
  </w:style>
  <w:style w:type="paragraph" w:styleId="21">
    <w:name w:val="Body Text Indent 2"/>
    <w:basedOn w:val="a"/>
    <w:link w:val="22"/>
    <w:rsid w:val="00057AFA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styleId="a6">
    <w:name w:val="Body Text"/>
    <w:basedOn w:val="a"/>
    <w:link w:val="a7"/>
    <w:rsid w:val="00057AFA"/>
    <w:pPr>
      <w:spacing w:after="120" w:line="240" w:lineRule="auto"/>
      <w:ind w:right="902" w:firstLine="567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057AFA"/>
    <w:pPr>
      <w:spacing w:after="0" w:line="240" w:lineRule="auto"/>
    </w:pPr>
    <w:rPr>
      <w:rFonts w:ascii="Tahoma" w:hAnsi="Tahoma"/>
      <w:sz w:val="16"/>
    </w:rPr>
  </w:style>
  <w:style w:type="paragraph" w:styleId="aa">
    <w:name w:val="header"/>
    <w:basedOn w:val="a"/>
    <w:link w:val="ab"/>
    <w:rsid w:val="00057AF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rsid w:val="0005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a0"/>
    <w:semiHidden/>
    <w:rsid w:val="00057AFA"/>
  </w:style>
  <w:style w:type="character" w:styleId="ae">
    <w:name w:val="Hyperlink"/>
    <w:rsid w:val="00057AFA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rsid w:val="00057AFA"/>
    <w:rPr>
      <w:rFonts w:ascii="Times New Roman" w:hAnsi="Times New Roman"/>
      <w:color w:val="000000"/>
      <w:sz w:val="20"/>
      <w:u w:val="none" w:color="000000"/>
    </w:rPr>
  </w:style>
  <w:style w:type="character" w:styleId="af">
    <w:name w:val="Strong"/>
    <w:qFormat/>
    <w:rsid w:val="00057AFA"/>
    <w:rPr>
      <w:b/>
    </w:rPr>
  </w:style>
  <w:style w:type="character" w:customStyle="1" w:styleId="20">
    <w:name w:val="Заголовок 2 Знак"/>
    <w:basedOn w:val="a0"/>
    <w:link w:val="2"/>
    <w:rsid w:val="00057AFA"/>
    <w:rPr>
      <w:b/>
      <w:color w:val="4F81BD"/>
      <w:sz w:val="26"/>
    </w:rPr>
  </w:style>
  <w:style w:type="character" w:customStyle="1" w:styleId="22">
    <w:name w:val="Основной текст с отступом 2 Знак"/>
    <w:basedOn w:val="a0"/>
    <w:link w:val="21"/>
    <w:rsid w:val="00057AFA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057AFA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semiHidden/>
    <w:rsid w:val="00057AFA"/>
    <w:rPr>
      <w:b/>
      <w:i/>
      <w:color w:val="4F81BD"/>
    </w:rPr>
  </w:style>
  <w:style w:type="character" w:customStyle="1" w:styleId="50">
    <w:name w:val="Заголовок 5 Знак"/>
    <w:basedOn w:val="a0"/>
    <w:link w:val="5"/>
    <w:rsid w:val="00057AFA"/>
    <w:rPr>
      <w:b/>
      <w:i/>
      <w:sz w:val="26"/>
    </w:rPr>
  </w:style>
  <w:style w:type="character" w:customStyle="1" w:styleId="11">
    <w:name w:val="Название1"/>
    <w:basedOn w:val="a0"/>
    <w:rsid w:val="00057AFA"/>
  </w:style>
  <w:style w:type="character" w:customStyle="1" w:styleId="a7">
    <w:name w:val="Основной текст Знак"/>
    <w:basedOn w:val="a0"/>
    <w:link w:val="a6"/>
    <w:rsid w:val="00057AFA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057AFA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sid w:val="00057AFA"/>
    <w:rPr>
      <w:b/>
      <w:color w:val="365F91"/>
      <w:sz w:val="28"/>
    </w:rPr>
  </w:style>
  <w:style w:type="character" w:customStyle="1" w:styleId="ab">
    <w:name w:val="Верхний колонтитул Знак"/>
    <w:basedOn w:val="a0"/>
    <w:link w:val="aa"/>
    <w:rsid w:val="00057AFA"/>
  </w:style>
  <w:style w:type="character" w:customStyle="1" w:styleId="ad">
    <w:name w:val="Нижний колонтитул Знак"/>
    <w:basedOn w:val="a0"/>
    <w:link w:val="ac"/>
    <w:rsid w:val="00057AFA"/>
  </w:style>
  <w:style w:type="table" w:styleId="12">
    <w:name w:val="Table Simple 1"/>
    <w:basedOn w:val="a1"/>
    <w:rsid w:val="00057A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rdieu.name/content/bourdieu-o-televidenii" TargetMode="External"/><Relationship Id="rId13" Type="http://schemas.openxmlformats.org/officeDocument/2006/relationships/hyperlink" Target="http://www.business.ua/i640/a21906" TargetMode="External"/><Relationship Id="rId18" Type="http://schemas.openxmlformats.org/officeDocument/2006/relationships/hyperlink" Target="http://www.philosophy.ru/" TargetMode="External"/><Relationship Id="rId26" Type="http://schemas.openxmlformats.org/officeDocument/2006/relationships/hyperlink" Target="http://www.iep.utm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henomen.ru/" TargetMode="External"/><Relationship Id="rId7" Type="http://schemas.openxmlformats.org/officeDocument/2006/relationships/hyperlink" Target="http://bourdieu.name/content/bourdieu-o-televidenii" TargetMode="External"/><Relationship Id="rId12" Type="http://schemas.openxmlformats.org/officeDocument/2006/relationships/hyperlink" Target="http://www.soob.ru/n/2003/4/practice/5" TargetMode="External"/><Relationship Id="rId17" Type="http://schemas.openxmlformats.org/officeDocument/2006/relationships/hyperlink" Target="http://terme.ru/" TargetMode="External"/><Relationship Id="rId25" Type="http://schemas.openxmlformats.org/officeDocument/2006/relationships/hyperlink" Target="http://plato.stanford.ed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5%D0%BE%D1%84%D1%84%D0%BC%D0%B0%D0%BD,_%D0%94%D0%B0%D1%81%D1%82%D0%B8%D0%BD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ras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ob.ru/dream" TargetMode="External"/><Relationship Id="rId24" Type="http://schemas.openxmlformats.org/officeDocument/2006/relationships/hyperlink" Target="http://www.britannica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4%D0%B5_%D0%9D%D0%B8%D1%80%D0%BE,_%D0%A0%D0%BE%D0%B1%D0%B5%D1%80%D1%82" TargetMode="External"/><Relationship Id="rId23" Type="http://schemas.openxmlformats.org/officeDocument/2006/relationships/hyperlink" Target="http://www.gumfak.ru/" TargetMode="External"/><Relationship Id="rId28" Type="http://schemas.openxmlformats.org/officeDocument/2006/relationships/hyperlink" Target="http://www.sovetnik.ru/" TargetMode="External"/><Relationship Id="rId10" Type="http://schemas.openxmlformats.org/officeDocument/2006/relationships/hyperlink" Target="http://www.sitnikov.com/sitnikov/publication/?id=215" TargetMode="External"/><Relationship Id="rId19" Type="http://schemas.openxmlformats.org/officeDocument/2006/relationships/hyperlink" Target="http://www.humanities.edu.ru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kommersant.ru/doc.aspx?DocsID=549010" TargetMode="External"/><Relationship Id="rId14" Type="http://schemas.openxmlformats.org/officeDocument/2006/relationships/hyperlink" Target="http://www.pravda.info/kompromat/1376.html" TargetMode="External"/><Relationship Id="rId22" Type="http://schemas.openxmlformats.org/officeDocument/2006/relationships/hyperlink" Target="http://filosof.historic.ru/" TargetMode="External"/><Relationship Id="rId27" Type="http://schemas.openxmlformats.org/officeDocument/2006/relationships/hyperlink" Target="http://www.soob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3044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1367862</cp:lastModifiedBy>
  <cp:revision>4</cp:revision>
  <dcterms:created xsi:type="dcterms:W3CDTF">2020-12-06T14:47:00Z</dcterms:created>
  <dcterms:modified xsi:type="dcterms:W3CDTF">2021-02-07T17:11:00Z</dcterms:modified>
</cp:coreProperties>
</file>